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4AC953EB" w:rsidR="00983BC4" w:rsidRDefault="00983BC4" w:rsidP="00983BC4">
      <w:pPr>
        <w:pStyle w:val="CRCoverPage"/>
        <w:tabs>
          <w:tab w:val="right" w:pos="9639"/>
        </w:tabs>
        <w:spacing w:after="0"/>
        <w:rPr>
          <w:b/>
          <w:i/>
          <w:noProof/>
          <w:sz w:val="28"/>
        </w:rPr>
      </w:pPr>
      <w:r>
        <w:rPr>
          <w:b/>
          <w:noProof/>
          <w:sz w:val="24"/>
        </w:rPr>
        <w:t>3GPP TSG-RAN4 Meeting #</w:t>
      </w:r>
      <w:r w:rsidR="004B7240">
        <w:rPr>
          <w:b/>
          <w:noProof/>
          <w:sz w:val="24"/>
        </w:rPr>
        <w:t>88</w:t>
      </w:r>
      <w:r>
        <w:rPr>
          <w:b/>
          <w:i/>
          <w:noProof/>
          <w:sz w:val="24"/>
        </w:rPr>
        <w:t xml:space="preserve"> </w:t>
      </w:r>
      <w:r>
        <w:rPr>
          <w:b/>
          <w:i/>
          <w:noProof/>
          <w:sz w:val="28"/>
        </w:rPr>
        <w:tab/>
      </w:r>
      <w:r w:rsidR="00F93E9F" w:rsidRPr="00F93E9F">
        <w:rPr>
          <w:b/>
          <w:i/>
          <w:noProof/>
          <w:sz w:val="28"/>
        </w:rPr>
        <w:t>R4-18</w:t>
      </w:r>
      <w:r w:rsidR="00D71A6E">
        <w:rPr>
          <w:b/>
          <w:i/>
          <w:noProof/>
          <w:sz w:val="28"/>
        </w:rPr>
        <w:t>09863</w:t>
      </w:r>
    </w:p>
    <w:p w14:paraId="362E9F61" w14:textId="6D6A1850" w:rsidR="00983BC4" w:rsidRDefault="004B7240" w:rsidP="00983BC4">
      <w:pPr>
        <w:pStyle w:val="CRCoverPage"/>
        <w:outlineLvl w:val="0"/>
        <w:rPr>
          <w:b/>
          <w:noProof/>
          <w:sz w:val="24"/>
        </w:rPr>
      </w:pPr>
      <w:r>
        <w:rPr>
          <w:b/>
          <w:noProof/>
          <w:sz w:val="24"/>
        </w:rPr>
        <w:t>Gothenburg</w:t>
      </w:r>
      <w:r w:rsidR="00983BC4">
        <w:rPr>
          <w:b/>
          <w:noProof/>
          <w:sz w:val="24"/>
        </w:rPr>
        <w:t xml:space="preserve">, </w:t>
      </w:r>
      <w:r>
        <w:rPr>
          <w:b/>
          <w:noProof/>
          <w:sz w:val="24"/>
        </w:rPr>
        <w:t>Sweden</w:t>
      </w:r>
      <w:r w:rsidR="00983BC4">
        <w:rPr>
          <w:b/>
          <w:noProof/>
          <w:sz w:val="24"/>
        </w:rPr>
        <w:t xml:space="preserve">, </w:t>
      </w:r>
      <w:r w:rsidR="00B5333D">
        <w:rPr>
          <w:b/>
          <w:noProof/>
          <w:sz w:val="24"/>
        </w:rPr>
        <w:t>2</w:t>
      </w:r>
      <w:r>
        <w:rPr>
          <w:b/>
          <w:noProof/>
          <w:sz w:val="24"/>
        </w:rPr>
        <w:t>0</w:t>
      </w:r>
      <w:r w:rsidR="00983BC4">
        <w:rPr>
          <w:b/>
          <w:noProof/>
          <w:sz w:val="24"/>
        </w:rPr>
        <w:t xml:space="preserve"> – </w:t>
      </w:r>
      <w:r>
        <w:rPr>
          <w:b/>
          <w:noProof/>
          <w:sz w:val="24"/>
        </w:rPr>
        <w:t>24</w:t>
      </w:r>
      <w:r w:rsidR="00983BC4">
        <w:rPr>
          <w:b/>
          <w:noProof/>
          <w:sz w:val="24"/>
        </w:rPr>
        <w:t xml:space="preserve"> </w:t>
      </w:r>
      <w:r>
        <w:rPr>
          <w:b/>
          <w:noProof/>
          <w:sz w:val="24"/>
        </w:rPr>
        <w:t>Aug</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7F88A9E5"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C42A00" w:rsidRPr="00C42A00">
        <w:rPr>
          <w:rFonts w:ascii="Arial" w:hAnsi="Arial" w:cs="Arial"/>
          <w:b/>
          <w:sz w:val="24"/>
        </w:rPr>
        <w:t>7.11.3</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2A0909CE"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E250F" w:rsidRPr="00AE250F">
        <w:rPr>
          <w:rFonts w:ascii="Arial" w:hAnsi="Arial" w:cs="Arial"/>
          <w:b/>
          <w:sz w:val="24"/>
        </w:rPr>
        <w:t>On gap-assisted serving cell measurement</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7F69209B" w14:textId="77777777" w:rsidR="00E73C47" w:rsidRDefault="00AE250F" w:rsidP="005D2062">
      <w:pPr>
        <w:jc w:val="both"/>
        <w:rPr>
          <w:lang w:eastAsia="zh-CN"/>
        </w:rPr>
      </w:pPr>
      <w:r>
        <w:rPr>
          <w:lang w:eastAsia="zh-CN"/>
        </w:rPr>
        <w:t>RAN2 has sent an LS[1] to RAN4 for confirming gap assisted</w:t>
      </w:r>
      <w:r w:rsidR="00E73C47">
        <w:rPr>
          <w:lang w:eastAsia="zh-CN"/>
        </w:rPr>
        <w:t xml:space="preserve"> serving cell measurement, which is duplicated as below,</w:t>
      </w:r>
    </w:p>
    <w:tbl>
      <w:tblPr>
        <w:tblStyle w:val="TableGrid"/>
        <w:tblW w:w="0" w:type="auto"/>
        <w:tblLook w:val="04A0" w:firstRow="1" w:lastRow="0" w:firstColumn="1" w:lastColumn="0" w:noHBand="0" w:noVBand="1"/>
      </w:tblPr>
      <w:tblGrid>
        <w:gridCol w:w="9629"/>
      </w:tblGrid>
      <w:tr w:rsidR="00E73C47" w14:paraId="33D7D0F0" w14:textId="77777777" w:rsidTr="00E73C47">
        <w:tc>
          <w:tcPr>
            <w:tcW w:w="9629" w:type="dxa"/>
          </w:tcPr>
          <w:p w14:paraId="053C315A" w14:textId="77777777" w:rsidR="00E73C47" w:rsidRDefault="00E73C47" w:rsidP="00E73C47">
            <w:pPr>
              <w:rPr>
                <w:rFonts w:ascii="Arial" w:hAnsi="Arial" w:cs="Arial"/>
              </w:rPr>
            </w:pPr>
            <w:r>
              <w:rPr>
                <w:rFonts w:ascii="Arial" w:hAnsi="Arial" w:cs="Arial"/>
              </w:rPr>
              <w:t>RAN2 would like to inform RAN4 about the following RAN2 agreement made in RAN2#99 (October 2017).</w:t>
            </w:r>
          </w:p>
          <w:p w14:paraId="713DF3CD" w14:textId="77777777" w:rsidR="00E73C47" w:rsidRDefault="00E73C47" w:rsidP="00E73C47">
            <w:pP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E73C47" w14:paraId="120CD456" w14:textId="77777777" w:rsidTr="00E73C47">
              <w:tc>
                <w:tcPr>
                  <w:tcW w:w="9813" w:type="dxa"/>
                  <w:tcBorders>
                    <w:top w:val="single" w:sz="4" w:space="0" w:color="auto"/>
                    <w:left w:val="single" w:sz="4" w:space="0" w:color="auto"/>
                    <w:bottom w:val="single" w:sz="4" w:space="0" w:color="auto"/>
                    <w:right w:val="single" w:sz="4" w:space="0" w:color="auto"/>
                  </w:tcBorders>
                  <w:hideMark/>
                </w:tcPr>
                <w:p w14:paraId="70BF02D2" w14:textId="77777777" w:rsidR="00E73C47" w:rsidRDefault="00E73C47" w:rsidP="00E73C47">
                  <w:pPr>
                    <w:pStyle w:val="Doc-text2"/>
                    <w:spacing w:after="180"/>
                    <w:ind w:leftChars="129" w:left="621"/>
                    <w:rPr>
                      <w:rFonts w:eastAsia="Yu Mincho"/>
                    </w:rPr>
                  </w:pPr>
                  <w:r>
                    <w:rPr>
                      <w:rFonts w:eastAsia="Batang"/>
                      <w:lang w:val="en-GB"/>
                    </w:rPr>
                    <w:t>Agreements for BWP operation in CONNECTED mode:</w:t>
                  </w:r>
                </w:p>
                <w:p w14:paraId="6ADC1C29" w14:textId="77777777" w:rsidR="00E73C47" w:rsidRDefault="00E73C47" w:rsidP="00E73C47">
                  <w:pPr>
                    <w:pStyle w:val="Doc-text2"/>
                    <w:spacing w:after="180"/>
                    <w:ind w:leftChars="129" w:left="621"/>
                    <w:rPr>
                      <w:rFonts w:eastAsia="Batang"/>
                    </w:rPr>
                  </w:pPr>
                  <w:r>
                    <w:rPr>
                      <w:rFonts w:eastAsia="Batang"/>
                      <w:lang w:val="en-GB"/>
                    </w:rPr>
                    <w:t>[…]</w:t>
                  </w:r>
                </w:p>
                <w:p w14:paraId="19314410" w14:textId="77777777" w:rsidR="00E73C47" w:rsidRDefault="00E73C47" w:rsidP="00E73C47">
                  <w:pPr>
                    <w:pStyle w:val="Doc-text2"/>
                    <w:spacing w:after="180"/>
                    <w:ind w:leftChars="129" w:left="621"/>
                    <w:rPr>
                      <w:rFonts w:eastAsia="Batang"/>
                    </w:rPr>
                  </w:pPr>
                  <w:r>
                    <w:rPr>
                      <w:rFonts w:eastAsia="Batang"/>
                      <w:highlight w:val="yellow"/>
                      <w:lang w:val="en-GB"/>
                    </w:rPr>
                    <w:t>6    The cell defining SS block is considered as the time reference of the serving cell, and for RRM serving cell measurements based on SSB (irrespective of which BWP is activated).</w:t>
                  </w:r>
                </w:p>
              </w:tc>
            </w:tr>
          </w:tbl>
          <w:p w14:paraId="113A9567" w14:textId="77777777" w:rsidR="00E73C47" w:rsidRDefault="00E73C47" w:rsidP="00E73C47">
            <w:pPr>
              <w:rPr>
                <w:rFonts w:ascii="Arial" w:eastAsia="MS Mincho" w:hAnsi="Arial" w:cs="Arial"/>
              </w:rPr>
            </w:pPr>
          </w:p>
          <w:p w14:paraId="0F823FB3" w14:textId="77777777" w:rsidR="00E73C47" w:rsidRDefault="00E73C47" w:rsidP="00E73C47">
            <w:pPr>
              <w:rPr>
                <w:rFonts w:ascii="Arial" w:hAnsi="Arial" w:cs="Arial"/>
                <w:lang w:eastAsia="ja-JP"/>
              </w:rPr>
            </w:pPr>
            <w:r>
              <w:rPr>
                <w:rFonts w:ascii="Arial" w:hAnsi="Arial" w:cs="Arial"/>
                <w:lang w:eastAsia="ja-JP"/>
              </w:rPr>
              <w:t>It is RAN2 understanding that the concerned serving cell measurements can be performed using gaps when UE’s active BWP does not contain the cell defining SSB (e.g. according to what RAN4 define as "intra-frequency measurements with measurement gaps").</w:t>
            </w:r>
          </w:p>
          <w:p w14:paraId="12D2811C" w14:textId="77777777" w:rsidR="00E73C47" w:rsidRDefault="00E73C47" w:rsidP="00E73C47">
            <w:pPr>
              <w:rPr>
                <w:rFonts w:ascii="Arial" w:hAnsi="Arial" w:cs="Arial"/>
              </w:rPr>
            </w:pPr>
          </w:p>
          <w:p w14:paraId="491488FB" w14:textId="61D0EBB7" w:rsidR="00E73C47" w:rsidRPr="00E73C47" w:rsidRDefault="00E73C47" w:rsidP="005D2062">
            <w:pPr>
              <w:rPr>
                <w:rFonts w:ascii="Arial" w:hAnsi="Arial" w:cs="Arial"/>
                <w:lang w:eastAsia="ja-JP"/>
              </w:rPr>
            </w:pPr>
            <w:r>
              <w:rPr>
                <w:rFonts w:ascii="Arial" w:hAnsi="Arial" w:cs="Arial"/>
                <w:lang w:eastAsia="ja-JP"/>
              </w:rPr>
              <w:t>RAN2 would like to ask RAN4 to confirm that this is in line with RAN4’s understanding.</w:t>
            </w:r>
          </w:p>
        </w:tc>
      </w:tr>
    </w:tbl>
    <w:p w14:paraId="403C2BD5" w14:textId="26EFC2FE" w:rsidR="00AE250F" w:rsidRDefault="00AE250F" w:rsidP="005D2062">
      <w:pPr>
        <w:jc w:val="both"/>
        <w:rPr>
          <w:lang w:eastAsia="zh-CN"/>
        </w:rPr>
      </w:pPr>
    </w:p>
    <w:p w14:paraId="65B3960F" w14:textId="44B2816B" w:rsidR="00ED39FE" w:rsidRPr="00ED39FE" w:rsidRDefault="00E73C47" w:rsidP="005D2062">
      <w:pPr>
        <w:jc w:val="both"/>
        <w:rPr>
          <w:lang w:eastAsia="zh-CN"/>
        </w:rPr>
      </w:pPr>
      <w:r>
        <w:rPr>
          <w:lang w:eastAsia="zh-CN"/>
        </w:rPr>
        <w:t xml:space="preserve">In this contribution we discuss the serving cell measurement when cell defining SSB is outside active BWP, and corresponding LS is provided in [2]. </w:t>
      </w:r>
    </w:p>
    <w:p w14:paraId="21E4F90F" w14:textId="5767CBBC" w:rsidR="00F45216" w:rsidRPr="00A137D5" w:rsidRDefault="005141AF" w:rsidP="00F45216">
      <w:pPr>
        <w:pStyle w:val="Heading1"/>
        <w:rPr>
          <w:sz w:val="32"/>
        </w:rPr>
      </w:pPr>
      <w:r>
        <w:rPr>
          <w:sz w:val="32"/>
        </w:rPr>
        <w:t>Discussion</w:t>
      </w:r>
    </w:p>
    <w:p w14:paraId="6B059CC4" w14:textId="3F077BF0" w:rsidR="00E73C47" w:rsidRDefault="00E73C47" w:rsidP="00E73C47">
      <w:pPr>
        <w:jc w:val="both"/>
        <w:rPr>
          <w:lang w:eastAsia="zh-CN"/>
        </w:rPr>
      </w:pPr>
      <w:r>
        <w:rPr>
          <w:lang w:eastAsia="zh-CN"/>
        </w:rPr>
        <w:t>In RAN4 we had some related agreements in the previous meetings:</w:t>
      </w:r>
    </w:p>
    <w:p w14:paraId="0205A3A7" w14:textId="7AC443C2" w:rsidR="00E73C47" w:rsidRPr="00E73C47" w:rsidRDefault="00E73C47" w:rsidP="00E73C47">
      <w:pPr>
        <w:pStyle w:val="ListParagraph"/>
        <w:numPr>
          <w:ilvl w:val="0"/>
          <w:numId w:val="46"/>
        </w:numPr>
        <w:ind w:left="360"/>
        <w:jc w:val="both"/>
        <w:rPr>
          <w:rFonts w:ascii="Times New Roman" w:eastAsia="SimSun" w:hAnsi="Times New Roman"/>
          <w:sz w:val="20"/>
          <w:szCs w:val="20"/>
          <w:lang w:val="en-GB" w:eastAsia="zh-CN"/>
        </w:rPr>
      </w:pPr>
      <w:r w:rsidRPr="00E73C47">
        <w:rPr>
          <w:rFonts w:ascii="Times New Roman" w:eastAsia="SimSun" w:hAnsi="Times New Roman"/>
          <w:sz w:val="20"/>
          <w:szCs w:val="20"/>
          <w:lang w:val="en-GB" w:eastAsia="zh-CN"/>
        </w:rPr>
        <w:t xml:space="preserve">Agreements on definition of SSB based intra-frequency and inter-frequency measurement </w:t>
      </w:r>
      <w:r>
        <w:rPr>
          <w:rFonts w:ascii="Times New Roman" w:eastAsia="SimSun" w:hAnsi="Times New Roman"/>
          <w:sz w:val="20"/>
          <w:szCs w:val="20"/>
          <w:lang w:val="en-GB" w:eastAsia="zh-CN"/>
        </w:rPr>
        <w:t>(RAN4 #AH NR3 in Nagoya)</w:t>
      </w:r>
    </w:p>
    <w:tbl>
      <w:tblPr>
        <w:tblStyle w:val="TableGrid"/>
        <w:tblW w:w="0" w:type="auto"/>
        <w:tblInd w:w="355" w:type="dxa"/>
        <w:tblLook w:val="04A0" w:firstRow="1" w:lastRow="0" w:firstColumn="1" w:lastColumn="0" w:noHBand="0" w:noVBand="1"/>
      </w:tblPr>
      <w:tblGrid>
        <w:gridCol w:w="9274"/>
      </w:tblGrid>
      <w:tr w:rsidR="00E73C47" w14:paraId="346704C1" w14:textId="77777777" w:rsidTr="00E73C47">
        <w:tc>
          <w:tcPr>
            <w:tcW w:w="9274" w:type="dxa"/>
          </w:tcPr>
          <w:p w14:paraId="7EBFFA4F" w14:textId="77777777" w:rsidR="00E73C47" w:rsidRPr="00E94578" w:rsidRDefault="00E73C47" w:rsidP="00E73C47">
            <w:pPr>
              <w:numPr>
                <w:ilvl w:val="1"/>
                <w:numId w:val="46"/>
              </w:numPr>
              <w:spacing w:before="0" w:after="180"/>
              <w:ind w:left="432"/>
              <w:rPr>
                <w:lang w:val="en-US"/>
              </w:rPr>
            </w:pPr>
            <w:r w:rsidRPr="00E94578">
              <w:rPr>
                <w:lang w:val="en-US"/>
              </w:rPr>
              <w:t>SSB based Intra-frequency Measurement: A measurement is defined as a SSB based intra-frequency measurement provided the center frequency of the SSB of the serving cell indicated for measurement and the center frequency of the SSB of the neighbour cell are the same, and the subcarrier spacing of the two SSBs are also the same.</w:t>
            </w:r>
          </w:p>
          <w:p w14:paraId="090C3557" w14:textId="5500D93F" w:rsidR="00E73C47" w:rsidRPr="00E73C47" w:rsidRDefault="00E73C47" w:rsidP="00E73C47">
            <w:pPr>
              <w:numPr>
                <w:ilvl w:val="1"/>
                <w:numId w:val="46"/>
              </w:numPr>
              <w:spacing w:before="0" w:after="180"/>
              <w:ind w:left="432"/>
              <w:rPr>
                <w:lang w:val="en-US"/>
              </w:rPr>
            </w:pPr>
            <w:r w:rsidRPr="00E94578">
              <w:rPr>
                <w:lang w:val="en-US"/>
              </w:rPr>
              <w:t>SSB based Inter-frequency Measurement: A measurement is defined as a SSB based inter-frequency measurement provided the center frequency of the SSB of the serving cell indicated for measurement and the center frequency of the SSB of the neighbour cell are different, or the subcarrier spacing of the two SSBs are different.</w:t>
            </w:r>
          </w:p>
        </w:tc>
      </w:tr>
    </w:tbl>
    <w:p w14:paraId="48687D52" w14:textId="3B6C0D59" w:rsidR="00E73C47" w:rsidRDefault="00E73C47" w:rsidP="00E73C47">
      <w:pPr>
        <w:spacing w:before="0" w:after="180"/>
        <w:ind w:left="720"/>
        <w:rPr>
          <w:lang w:val="en-US"/>
        </w:rPr>
      </w:pPr>
    </w:p>
    <w:p w14:paraId="1C9B226D" w14:textId="089518B2" w:rsidR="00E73C47" w:rsidRPr="00E73C47" w:rsidRDefault="00E73C47" w:rsidP="00E73C47">
      <w:pPr>
        <w:pStyle w:val="ListParagraph"/>
        <w:numPr>
          <w:ilvl w:val="0"/>
          <w:numId w:val="46"/>
        </w:numPr>
        <w:ind w:left="360"/>
        <w:jc w:val="both"/>
        <w:rPr>
          <w:rFonts w:ascii="Times New Roman" w:eastAsia="SimSun" w:hAnsi="Times New Roman"/>
          <w:sz w:val="20"/>
          <w:szCs w:val="20"/>
          <w:lang w:val="en-GB" w:eastAsia="zh-CN"/>
        </w:rPr>
      </w:pPr>
      <w:r w:rsidRPr="00E73C47">
        <w:rPr>
          <w:rFonts w:ascii="Times New Roman" w:eastAsia="SimSun" w:hAnsi="Times New Roman"/>
          <w:sz w:val="20"/>
          <w:szCs w:val="20"/>
          <w:lang w:val="en-GB" w:eastAsia="zh-CN"/>
        </w:rPr>
        <w:lastRenderedPageBreak/>
        <w:t>Agreement on intra-frequency with gap</w:t>
      </w:r>
      <w:r>
        <w:rPr>
          <w:rFonts w:ascii="Times New Roman" w:eastAsia="SimSun" w:hAnsi="Times New Roman"/>
          <w:sz w:val="20"/>
          <w:szCs w:val="20"/>
          <w:lang w:val="en-GB" w:eastAsia="zh-CN"/>
        </w:rPr>
        <w:t xml:space="preserve"> (RAN4 #84bis in Dubrovnik)</w:t>
      </w:r>
    </w:p>
    <w:tbl>
      <w:tblPr>
        <w:tblStyle w:val="TableGrid"/>
        <w:tblW w:w="0" w:type="auto"/>
        <w:tblInd w:w="355" w:type="dxa"/>
        <w:tblLook w:val="04A0" w:firstRow="1" w:lastRow="0" w:firstColumn="1" w:lastColumn="0" w:noHBand="0" w:noVBand="1"/>
      </w:tblPr>
      <w:tblGrid>
        <w:gridCol w:w="9274"/>
      </w:tblGrid>
      <w:tr w:rsidR="00E73C47" w14:paraId="37301932" w14:textId="77777777" w:rsidTr="00E73C47">
        <w:tc>
          <w:tcPr>
            <w:tcW w:w="9274" w:type="dxa"/>
          </w:tcPr>
          <w:p w14:paraId="4B4374B8" w14:textId="77777777" w:rsidR="00E73C47" w:rsidRPr="00FB0A03" w:rsidRDefault="00E73C47" w:rsidP="00E73C47">
            <w:pPr>
              <w:rPr>
                <w:u w:val="single"/>
              </w:rPr>
            </w:pPr>
            <w:r w:rsidRPr="00FB0A03">
              <w:rPr>
                <w:u w:val="single"/>
              </w:rPr>
              <w:t>Usage of measurement gaps</w:t>
            </w:r>
          </w:p>
          <w:p w14:paraId="75E1A3B6" w14:textId="77777777" w:rsidR="00E73C47" w:rsidRPr="00FB0A03" w:rsidRDefault="00E73C47" w:rsidP="00E73C47">
            <w:pPr>
              <w:numPr>
                <w:ilvl w:val="0"/>
                <w:numId w:val="48"/>
              </w:numPr>
              <w:overflowPunct/>
              <w:autoSpaceDE/>
              <w:autoSpaceDN/>
              <w:adjustRightInd/>
              <w:spacing w:before="0"/>
              <w:textAlignment w:val="auto"/>
              <w:rPr>
                <w:lang w:val="en-US" w:eastAsia="zh-CN"/>
              </w:rPr>
            </w:pPr>
            <w:r w:rsidRPr="00FB0A03">
              <w:rPr>
                <w:lang w:val="en-US" w:eastAsia="zh-CN"/>
              </w:rPr>
              <w:t>RAN4 has discussed the following use cases for measurement gaps</w:t>
            </w:r>
            <w:bookmarkStart w:id="2" w:name="_Hlk495692975"/>
          </w:p>
          <w:bookmarkEnd w:id="2"/>
          <w:p w14:paraId="6C527A65" w14:textId="77777777" w:rsidR="00E73C47" w:rsidRPr="00FB0A03" w:rsidRDefault="00E73C47" w:rsidP="00E73C47">
            <w:pPr>
              <w:numPr>
                <w:ilvl w:val="1"/>
                <w:numId w:val="48"/>
              </w:numPr>
              <w:overflowPunct/>
              <w:autoSpaceDE/>
              <w:autoSpaceDN/>
              <w:adjustRightInd/>
              <w:spacing w:before="0"/>
              <w:textAlignment w:val="auto"/>
              <w:rPr>
                <w:lang w:val="en-US" w:eastAsia="zh-CN"/>
              </w:rPr>
            </w:pPr>
            <w:r w:rsidRPr="00FB0A03">
              <w:rPr>
                <w:lang w:val="en-US" w:eastAsia="zh-CN"/>
              </w:rPr>
              <w:t>Measurement of interfrequency NR cells,</w:t>
            </w:r>
          </w:p>
          <w:p w14:paraId="2A23B6FF" w14:textId="0541FA0C" w:rsidR="00E73C47" w:rsidRPr="00E73C47" w:rsidRDefault="00E73C47" w:rsidP="00E73C47">
            <w:pPr>
              <w:numPr>
                <w:ilvl w:val="1"/>
                <w:numId w:val="48"/>
              </w:numPr>
              <w:overflowPunct/>
              <w:autoSpaceDE/>
              <w:autoSpaceDN/>
              <w:adjustRightInd/>
              <w:spacing w:before="0"/>
              <w:textAlignment w:val="auto"/>
              <w:rPr>
                <w:lang w:val="en-US" w:eastAsia="zh-CN"/>
              </w:rPr>
            </w:pPr>
            <w:r w:rsidRPr="00FB0A03">
              <w:rPr>
                <w:lang w:val="en-US" w:eastAsia="zh-CN"/>
              </w:rPr>
              <w:t>Measurement of intrafrequency NR cells when the intrafrequency SS burst is not within the UEs active bandwidth part and hence the UE needs to perform RF retuning.</w:t>
            </w:r>
          </w:p>
        </w:tc>
      </w:tr>
    </w:tbl>
    <w:p w14:paraId="6DB9E23D" w14:textId="40884001" w:rsidR="006B1833" w:rsidRPr="00E73C47" w:rsidRDefault="00E73C47" w:rsidP="00E73C47">
      <w:pPr>
        <w:pStyle w:val="ListParagraph"/>
        <w:numPr>
          <w:ilvl w:val="0"/>
          <w:numId w:val="46"/>
        </w:numPr>
        <w:ind w:left="360"/>
        <w:jc w:val="both"/>
        <w:rPr>
          <w:rFonts w:ascii="Times New Roman" w:eastAsia="SimSun" w:hAnsi="Times New Roman"/>
          <w:sz w:val="20"/>
          <w:szCs w:val="20"/>
          <w:lang w:val="en-GB" w:eastAsia="zh-CN"/>
        </w:rPr>
      </w:pPr>
      <w:r w:rsidRPr="00E73C47">
        <w:rPr>
          <w:rFonts w:ascii="Times New Roman" w:eastAsia="SimSun" w:hAnsi="Times New Roman"/>
          <w:sz w:val="20"/>
          <w:szCs w:val="20"/>
          <w:lang w:val="en-GB" w:eastAsia="zh-CN"/>
        </w:rPr>
        <w:t>Measurement definition (RAN4 #86 meeting in Athens)</w:t>
      </w:r>
    </w:p>
    <w:tbl>
      <w:tblPr>
        <w:tblStyle w:val="TableGrid"/>
        <w:tblW w:w="0" w:type="auto"/>
        <w:tblInd w:w="355" w:type="dxa"/>
        <w:tblLook w:val="04A0" w:firstRow="1" w:lastRow="0" w:firstColumn="1" w:lastColumn="0" w:noHBand="0" w:noVBand="1"/>
      </w:tblPr>
      <w:tblGrid>
        <w:gridCol w:w="9274"/>
      </w:tblGrid>
      <w:tr w:rsidR="00E73C47" w14:paraId="09938D15" w14:textId="77777777" w:rsidTr="00E73C47">
        <w:tc>
          <w:tcPr>
            <w:tcW w:w="9274" w:type="dxa"/>
          </w:tcPr>
          <w:p w14:paraId="50996C46" w14:textId="77777777" w:rsidR="008D2062" w:rsidRPr="00E73C47" w:rsidRDefault="00E308C3" w:rsidP="00E73C47">
            <w:pPr>
              <w:pStyle w:val="NO"/>
              <w:numPr>
                <w:ilvl w:val="1"/>
                <w:numId w:val="49"/>
              </w:numPr>
              <w:rPr>
                <w:i/>
                <w:lang w:val="en-US"/>
              </w:rPr>
            </w:pPr>
            <w:r w:rsidRPr="00E73C47">
              <w:rPr>
                <w:i/>
                <w:lang w:val="en-US"/>
              </w:rPr>
              <w:t>Measurement type C: intra-frequency measurement with MG</w:t>
            </w:r>
          </w:p>
          <w:p w14:paraId="7E151355" w14:textId="54C6614C" w:rsidR="00E73C47" w:rsidRPr="00E73C47" w:rsidRDefault="00E308C3" w:rsidP="00E73C47">
            <w:pPr>
              <w:pStyle w:val="NO"/>
              <w:numPr>
                <w:ilvl w:val="2"/>
                <w:numId w:val="49"/>
              </w:numPr>
              <w:rPr>
                <w:i/>
                <w:lang w:val="en-US"/>
              </w:rPr>
            </w:pPr>
            <w:r w:rsidRPr="00E73C47">
              <w:rPr>
                <w:i/>
                <w:lang w:val="en-US"/>
              </w:rPr>
              <w:t>E.g. Intra-frequency measurement outside active BWP</w:t>
            </w:r>
          </w:p>
        </w:tc>
      </w:tr>
    </w:tbl>
    <w:p w14:paraId="235C1BEC" w14:textId="77777777" w:rsidR="00E73C47" w:rsidRDefault="00E73C47" w:rsidP="00E73C47">
      <w:pPr>
        <w:pStyle w:val="NO"/>
        <w:ind w:left="720" w:firstLine="0"/>
        <w:rPr>
          <w:i/>
          <w:lang w:val="en-US"/>
        </w:rPr>
      </w:pPr>
    </w:p>
    <w:p w14:paraId="5AE1143E" w14:textId="4D137E36" w:rsidR="00E73C47" w:rsidRDefault="00E73C47" w:rsidP="00E73C47">
      <w:pPr>
        <w:pStyle w:val="NO"/>
        <w:ind w:left="0" w:firstLine="0"/>
        <w:jc w:val="both"/>
        <w:rPr>
          <w:lang w:val="en-US"/>
        </w:rPr>
      </w:pPr>
      <w:r>
        <w:rPr>
          <w:lang w:val="en-US"/>
        </w:rPr>
        <w:t>Based on the above agreement, it’s apparent that, if the cell defining SSB is outside of UE active BWP then MG is used for intra-frequency measurement on that cell; and in SSB based intra-frequency measurement case, serving cell SSB center frequency is same as neighbor cell SSB center frequency. In addition, UE is not allowed to tune the RF outside the MG in order to keep data reception/transmission in the current active BWP. Thus, if cell defining SSB</w:t>
      </w:r>
      <w:r w:rsidRPr="00E73C47">
        <w:rPr>
          <w:lang w:val="en-US"/>
        </w:rPr>
        <w:t xml:space="preserve"> </w:t>
      </w:r>
      <w:r>
        <w:rPr>
          <w:lang w:val="en-US"/>
        </w:rPr>
        <w:t>of serving cell is outside current UE active BWP, UE need to use the same methodology to conduct the measurement as intra-frequency measurement with MG, that is, in this case, serving cell measurement is conducted with MG.</w:t>
      </w:r>
    </w:p>
    <w:p w14:paraId="7FDDC0F8" w14:textId="1CCD03C4" w:rsidR="00E73C47" w:rsidRPr="00E73C47" w:rsidRDefault="00E73C47" w:rsidP="00E73C47">
      <w:pPr>
        <w:pStyle w:val="NO"/>
        <w:ind w:left="0" w:firstLine="0"/>
        <w:jc w:val="both"/>
        <w:rPr>
          <w:b/>
          <w:i/>
          <w:lang w:val="en-US"/>
        </w:rPr>
      </w:pPr>
      <w:r w:rsidRPr="00E73C47">
        <w:rPr>
          <w:b/>
          <w:i/>
          <w:lang w:val="en-US"/>
        </w:rPr>
        <w:t>Proposal: Reply the LS(R2-1810932) to indicate that RAN2’s understanding is in line with RAN4’s.</w:t>
      </w:r>
    </w:p>
    <w:p w14:paraId="427727A6" w14:textId="5F291BA9" w:rsidR="00D05F59" w:rsidRPr="00A137D5" w:rsidRDefault="00004361" w:rsidP="005D2062">
      <w:pPr>
        <w:pStyle w:val="Heading1"/>
        <w:rPr>
          <w:sz w:val="32"/>
        </w:rPr>
      </w:pPr>
      <w:r w:rsidRPr="00A137D5">
        <w:rPr>
          <w:sz w:val="32"/>
        </w:rPr>
        <w:t>Conclusion</w:t>
      </w:r>
    </w:p>
    <w:p w14:paraId="7057A6B4" w14:textId="77777777" w:rsidR="00E73C47" w:rsidRPr="00ED39FE" w:rsidRDefault="00E73C47" w:rsidP="00E73C47">
      <w:pPr>
        <w:jc w:val="both"/>
        <w:rPr>
          <w:lang w:eastAsia="zh-CN"/>
        </w:rPr>
      </w:pPr>
      <w:r>
        <w:rPr>
          <w:lang w:eastAsia="zh-CN"/>
        </w:rPr>
        <w:t xml:space="preserve">In this contribution we discuss the serving cell measurement when cell defining SSB is outside active BWP, and corresponding LS is provided in [2]. </w:t>
      </w:r>
    </w:p>
    <w:p w14:paraId="2AAB40DD" w14:textId="77777777" w:rsidR="00E73C47" w:rsidRPr="00E73C47" w:rsidRDefault="00E73C47" w:rsidP="00E73C47">
      <w:pPr>
        <w:pStyle w:val="NO"/>
        <w:ind w:left="0" w:firstLine="0"/>
        <w:jc w:val="both"/>
        <w:rPr>
          <w:b/>
          <w:i/>
          <w:lang w:val="en-US"/>
        </w:rPr>
      </w:pPr>
      <w:r w:rsidRPr="00E73C47">
        <w:rPr>
          <w:b/>
          <w:i/>
          <w:lang w:val="en-US"/>
        </w:rPr>
        <w:t>Proposal: Reply the LS(R2-1810932) to indicate that RAN2’s understanding is in line with RAN4’s.</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03C7A112" w14:textId="77777777" w:rsidR="00235CA8" w:rsidRDefault="005141AF" w:rsidP="00235CA8">
      <w:pPr>
        <w:jc w:val="both"/>
        <w:rPr>
          <w:lang w:eastAsia="zh-CN"/>
        </w:rPr>
      </w:pPr>
      <w:r>
        <w:rPr>
          <w:lang w:eastAsia="zh-CN"/>
        </w:rPr>
        <w:t xml:space="preserve">[1] </w:t>
      </w:r>
      <w:r w:rsidR="00E73C47" w:rsidRPr="00E73C47">
        <w:rPr>
          <w:lang w:val="en-US" w:eastAsia="zh-CN"/>
        </w:rPr>
        <w:t>R2-1810932</w:t>
      </w:r>
      <w:r>
        <w:rPr>
          <w:lang w:val="en-US" w:eastAsia="zh-CN"/>
        </w:rPr>
        <w:t>, “</w:t>
      </w:r>
      <w:r w:rsidR="00E73C47" w:rsidRPr="00E73C47">
        <w:rPr>
          <w:lang w:eastAsia="zh-CN"/>
        </w:rPr>
        <w:t>LS on gap-assisted serving cell measurement</w:t>
      </w:r>
      <w:r>
        <w:rPr>
          <w:lang w:val="en-US" w:eastAsia="zh-CN"/>
        </w:rPr>
        <w:t xml:space="preserve">”, </w:t>
      </w:r>
      <w:r w:rsidR="00E73C47">
        <w:rPr>
          <w:lang w:eastAsia="zh-CN"/>
        </w:rPr>
        <w:t>Qualcomm</w:t>
      </w:r>
      <w:r w:rsidR="00B5333D">
        <w:rPr>
          <w:lang w:eastAsia="zh-CN"/>
        </w:rPr>
        <w:t xml:space="preserve">, </w:t>
      </w:r>
      <w:r>
        <w:rPr>
          <w:lang w:eastAsia="zh-CN"/>
        </w:rPr>
        <w:t>RAN</w:t>
      </w:r>
      <w:r w:rsidR="00E73C47">
        <w:rPr>
          <w:lang w:eastAsia="zh-CN"/>
        </w:rPr>
        <w:t>2</w:t>
      </w:r>
      <w:r>
        <w:rPr>
          <w:lang w:eastAsia="zh-CN"/>
        </w:rPr>
        <w:t xml:space="preserve"> #</w:t>
      </w:r>
      <w:r w:rsidR="001A3E5C">
        <w:rPr>
          <w:lang w:eastAsia="zh-CN"/>
        </w:rPr>
        <w:t>AH1807</w:t>
      </w:r>
    </w:p>
    <w:p w14:paraId="5F454A5A" w14:textId="4D816B68" w:rsidR="00235CA8" w:rsidRDefault="00235CA8" w:rsidP="00235CA8">
      <w:pPr>
        <w:jc w:val="both"/>
        <w:rPr>
          <w:lang w:eastAsia="zh-CN"/>
        </w:rPr>
      </w:pPr>
      <w:r>
        <w:rPr>
          <w:lang w:eastAsia="zh-CN"/>
        </w:rPr>
        <w:t xml:space="preserve">[2] </w:t>
      </w:r>
      <w:r w:rsidR="00D71A6E" w:rsidRPr="00D71A6E">
        <w:rPr>
          <w:lang w:eastAsia="zh-CN"/>
        </w:rPr>
        <w:t>R4-1809864</w:t>
      </w:r>
      <w:bookmarkStart w:id="3" w:name="_GoBack"/>
      <w:bookmarkEnd w:id="3"/>
      <w:r>
        <w:rPr>
          <w:lang w:eastAsia="zh-CN"/>
        </w:rPr>
        <w:t>, “</w:t>
      </w:r>
      <w:r w:rsidRPr="00235CA8">
        <w:rPr>
          <w:lang w:eastAsia="zh-CN"/>
        </w:rPr>
        <w:t>Reply LS on gap-assisted serving cell measurement</w:t>
      </w:r>
      <w:r>
        <w:rPr>
          <w:lang w:eastAsia="zh-CN"/>
        </w:rPr>
        <w:t xml:space="preserve">”, RAN4 #88 </w:t>
      </w:r>
    </w:p>
    <w:p w14:paraId="3D01D453" w14:textId="64A9D923" w:rsidR="005141AF" w:rsidRDefault="005141AF" w:rsidP="005141AF">
      <w:pPr>
        <w:jc w:val="both"/>
        <w:rPr>
          <w:lang w:eastAsia="zh-CN"/>
        </w:rPr>
      </w:pPr>
    </w:p>
    <w:p w14:paraId="59F44B0D" w14:textId="77777777" w:rsidR="00B5333D" w:rsidRPr="005141AF" w:rsidRDefault="00B5333D" w:rsidP="005141AF">
      <w:pPr>
        <w:jc w:val="both"/>
        <w:rPr>
          <w:lang w:eastAsia="zh-CN"/>
        </w:rPr>
      </w:pP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0DB2F" w14:textId="77777777" w:rsidR="005E6950" w:rsidRDefault="005E6950">
      <w:r>
        <w:separator/>
      </w:r>
    </w:p>
  </w:endnote>
  <w:endnote w:type="continuationSeparator" w:id="0">
    <w:p w14:paraId="48C5F56F" w14:textId="77777777" w:rsidR="005E6950" w:rsidRDefault="005E6950">
      <w:r>
        <w:continuationSeparator/>
      </w:r>
    </w:p>
  </w:endnote>
  <w:endnote w:type="continuationNotice" w:id="1">
    <w:p w14:paraId="6723E116" w14:textId="77777777" w:rsidR="005E6950" w:rsidRDefault="005E695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380548" w:rsidRDefault="003805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380548" w:rsidRDefault="003805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380548" w:rsidRPr="00DB1239" w:rsidRDefault="0038054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71A6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1A6E">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A6123" w14:textId="77777777" w:rsidR="005E6950" w:rsidRDefault="005E6950">
      <w:r>
        <w:separator/>
      </w:r>
    </w:p>
  </w:footnote>
  <w:footnote w:type="continuationSeparator" w:id="0">
    <w:p w14:paraId="363870A3" w14:textId="77777777" w:rsidR="005E6950" w:rsidRDefault="005E6950">
      <w:r>
        <w:continuationSeparator/>
      </w:r>
    </w:p>
  </w:footnote>
  <w:footnote w:type="continuationNotice" w:id="1">
    <w:p w14:paraId="4B29BC85" w14:textId="77777777" w:rsidR="005E6950" w:rsidRDefault="005E695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380548" w:rsidRDefault="003805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9C1CC6"/>
    <w:multiLevelType w:val="hybridMultilevel"/>
    <w:tmpl w:val="49886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34C43"/>
    <w:multiLevelType w:val="hybridMultilevel"/>
    <w:tmpl w:val="61F21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D7630C"/>
    <w:multiLevelType w:val="hybridMultilevel"/>
    <w:tmpl w:val="3B24549C"/>
    <w:lvl w:ilvl="0" w:tplc="63485158">
      <w:start w:val="1"/>
      <w:numFmt w:val="bullet"/>
      <w:lvlText w:val="•"/>
      <w:lvlJc w:val="left"/>
      <w:pPr>
        <w:tabs>
          <w:tab w:val="num" w:pos="720"/>
        </w:tabs>
        <w:ind w:left="720" w:hanging="360"/>
      </w:pPr>
      <w:rPr>
        <w:rFonts w:ascii="Arial" w:hAnsi="Arial" w:hint="default"/>
      </w:rPr>
    </w:lvl>
    <w:lvl w:ilvl="1" w:tplc="1FB020F2">
      <w:start w:val="270"/>
      <w:numFmt w:val="bullet"/>
      <w:lvlText w:val="•"/>
      <w:lvlJc w:val="left"/>
      <w:pPr>
        <w:tabs>
          <w:tab w:val="num" w:pos="1440"/>
        </w:tabs>
        <w:ind w:left="1440" w:hanging="360"/>
      </w:pPr>
      <w:rPr>
        <w:rFonts w:ascii="Arial" w:hAnsi="Arial" w:hint="default"/>
      </w:rPr>
    </w:lvl>
    <w:lvl w:ilvl="2" w:tplc="2FD2D946" w:tentative="1">
      <w:start w:val="1"/>
      <w:numFmt w:val="bullet"/>
      <w:lvlText w:val="•"/>
      <w:lvlJc w:val="left"/>
      <w:pPr>
        <w:tabs>
          <w:tab w:val="num" w:pos="2160"/>
        </w:tabs>
        <w:ind w:left="2160" w:hanging="360"/>
      </w:pPr>
      <w:rPr>
        <w:rFonts w:ascii="Arial" w:hAnsi="Arial" w:hint="default"/>
      </w:rPr>
    </w:lvl>
    <w:lvl w:ilvl="3" w:tplc="0AC44F82" w:tentative="1">
      <w:start w:val="1"/>
      <w:numFmt w:val="bullet"/>
      <w:lvlText w:val="•"/>
      <w:lvlJc w:val="left"/>
      <w:pPr>
        <w:tabs>
          <w:tab w:val="num" w:pos="2880"/>
        </w:tabs>
        <w:ind w:left="2880" w:hanging="360"/>
      </w:pPr>
      <w:rPr>
        <w:rFonts w:ascii="Arial" w:hAnsi="Arial" w:hint="default"/>
      </w:rPr>
    </w:lvl>
    <w:lvl w:ilvl="4" w:tplc="7F5458DC" w:tentative="1">
      <w:start w:val="1"/>
      <w:numFmt w:val="bullet"/>
      <w:lvlText w:val="•"/>
      <w:lvlJc w:val="left"/>
      <w:pPr>
        <w:tabs>
          <w:tab w:val="num" w:pos="3600"/>
        </w:tabs>
        <w:ind w:left="3600" w:hanging="360"/>
      </w:pPr>
      <w:rPr>
        <w:rFonts w:ascii="Arial" w:hAnsi="Arial" w:hint="default"/>
      </w:rPr>
    </w:lvl>
    <w:lvl w:ilvl="5" w:tplc="8C18DF46" w:tentative="1">
      <w:start w:val="1"/>
      <w:numFmt w:val="bullet"/>
      <w:lvlText w:val="•"/>
      <w:lvlJc w:val="left"/>
      <w:pPr>
        <w:tabs>
          <w:tab w:val="num" w:pos="4320"/>
        </w:tabs>
        <w:ind w:left="4320" w:hanging="360"/>
      </w:pPr>
      <w:rPr>
        <w:rFonts w:ascii="Arial" w:hAnsi="Arial" w:hint="default"/>
      </w:rPr>
    </w:lvl>
    <w:lvl w:ilvl="6" w:tplc="10FCDC7A" w:tentative="1">
      <w:start w:val="1"/>
      <w:numFmt w:val="bullet"/>
      <w:lvlText w:val="•"/>
      <w:lvlJc w:val="left"/>
      <w:pPr>
        <w:tabs>
          <w:tab w:val="num" w:pos="5040"/>
        </w:tabs>
        <w:ind w:left="5040" w:hanging="360"/>
      </w:pPr>
      <w:rPr>
        <w:rFonts w:ascii="Arial" w:hAnsi="Arial" w:hint="default"/>
      </w:rPr>
    </w:lvl>
    <w:lvl w:ilvl="7" w:tplc="C9A09AAC" w:tentative="1">
      <w:start w:val="1"/>
      <w:numFmt w:val="bullet"/>
      <w:lvlText w:val="•"/>
      <w:lvlJc w:val="left"/>
      <w:pPr>
        <w:tabs>
          <w:tab w:val="num" w:pos="5760"/>
        </w:tabs>
        <w:ind w:left="5760" w:hanging="360"/>
      </w:pPr>
      <w:rPr>
        <w:rFonts w:ascii="Arial" w:hAnsi="Arial" w:hint="default"/>
      </w:rPr>
    </w:lvl>
    <w:lvl w:ilvl="8" w:tplc="5FEC64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0A6B24"/>
    <w:multiLevelType w:val="hybridMultilevel"/>
    <w:tmpl w:val="197ACCE6"/>
    <w:lvl w:ilvl="0" w:tplc="4DECB26A">
      <w:start w:val="1"/>
      <w:numFmt w:val="bullet"/>
      <w:lvlText w:val="-"/>
      <w:lvlJc w:val="left"/>
      <w:pPr>
        <w:tabs>
          <w:tab w:val="num" w:pos="720"/>
        </w:tabs>
        <w:ind w:left="720" w:hanging="360"/>
      </w:pPr>
      <w:rPr>
        <w:rFonts w:ascii="Times New Roman" w:hAnsi="Times New Roman" w:hint="default"/>
      </w:rPr>
    </w:lvl>
    <w:lvl w:ilvl="1" w:tplc="25B4F494">
      <w:start w:val="1"/>
      <w:numFmt w:val="bullet"/>
      <w:lvlText w:val="-"/>
      <w:lvlJc w:val="left"/>
      <w:pPr>
        <w:tabs>
          <w:tab w:val="num" w:pos="1440"/>
        </w:tabs>
        <w:ind w:left="1440" w:hanging="360"/>
      </w:pPr>
      <w:rPr>
        <w:rFonts w:ascii="Times New Roman" w:hAnsi="Times New Roman" w:hint="default"/>
      </w:rPr>
    </w:lvl>
    <w:lvl w:ilvl="2" w:tplc="8070A622">
      <w:start w:val="337"/>
      <w:numFmt w:val="bullet"/>
      <w:lvlText w:val=""/>
      <w:lvlJc w:val="left"/>
      <w:pPr>
        <w:tabs>
          <w:tab w:val="num" w:pos="2160"/>
        </w:tabs>
        <w:ind w:left="2160" w:hanging="360"/>
      </w:pPr>
      <w:rPr>
        <w:rFonts w:ascii="Wingdings" w:hAnsi="Wingdings" w:hint="default"/>
      </w:rPr>
    </w:lvl>
    <w:lvl w:ilvl="3" w:tplc="14B6FD36" w:tentative="1">
      <w:start w:val="1"/>
      <w:numFmt w:val="bullet"/>
      <w:lvlText w:val="-"/>
      <w:lvlJc w:val="left"/>
      <w:pPr>
        <w:tabs>
          <w:tab w:val="num" w:pos="2880"/>
        </w:tabs>
        <w:ind w:left="2880" w:hanging="360"/>
      </w:pPr>
      <w:rPr>
        <w:rFonts w:ascii="Times New Roman" w:hAnsi="Times New Roman" w:hint="default"/>
      </w:rPr>
    </w:lvl>
    <w:lvl w:ilvl="4" w:tplc="B2FCDB08" w:tentative="1">
      <w:start w:val="1"/>
      <w:numFmt w:val="bullet"/>
      <w:lvlText w:val="-"/>
      <w:lvlJc w:val="left"/>
      <w:pPr>
        <w:tabs>
          <w:tab w:val="num" w:pos="3600"/>
        </w:tabs>
        <w:ind w:left="3600" w:hanging="360"/>
      </w:pPr>
      <w:rPr>
        <w:rFonts w:ascii="Times New Roman" w:hAnsi="Times New Roman" w:hint="default"/>
      </w:rPr>
    </w:lvl>
    <w:lvl w:ilvl="5" w:tplc="495CBA60" w:tentative="1">
      <w:start w:val="1"/>
      <w:numFmt w:val="bullet"/>
      <w:lvlText w:val="-"/>
      <w:lvlJc w:val="left"/>
      <w:pPr>
        <w:tabs>
          <w:tab w:val="num" w:pos="4320"/>
        </w:tabs>
        <w:ind w:left="4320" w:hanging="360"/>
      </w:pPr>
      <w:rPr>
        <w:rFonts w:ascii="Times New Roman" w:hAnsi="Times New Roman" w:hint="default"/>
      </w:rPr>
    </w:lvl>
    <w:lvl w:ilvl="6" w:tplc="63925EFE" w:tentative="1">
      <w:start w:val="1"/>
      <w:numFmt w:val="bullet"/>
      <w:lvlText w:val="-"/>
      <w:lvlJc w:val="left"/>
      <w:pPr>
        <w:tabs>
          <w:tab w:val="num" w:pos="5040"/>
        </w:tabs>
        <w:ind w:left="5040" w:hanging="360"/>
      </w:pPr>
      <w:rPr>
        <w:rFonts w:ascii="Times New Roman" w:hAnsi="Times New Roman" w:hint="default"/>
      </w:rPr>
    </w:lvl>
    <w:lvl w:ilvl="7" w:tplc="D0C84734" w:tentative="1">
      <w:start w:val="1"/>
      <w:numFmt w:val="bullet"/>
      <w:lvlText w:val="-"/>
      <w:lvlJc w:val="left"/>
      <w:pPr>
        <w:tabs>
          <w:tab w:val="num" w:pos="5760"/>
        </w:tabs>
        <w:ind w:left="5760" w:hanging="360"/>
      </w:pPr>
      <w:rPr>
        <w:rFonts w:ascii="Times New Roman" w:hAnsi="Times New Roman" w:hint="default"/>
      </w:rPr>
    </w:lvl>
    <w:lvl w:ilvl="8" w:tplc="ECB6C79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562685B"/>
    <w:multiLevelType w:val="hybridMultilevel"/>
    <w:tmpl w:val="9D4254D4"/>
    <w:lvl w:ilvl="0" w:tplc="7810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AB2260"/>
    <w:multiLevelType w:val="hybridMultilevel"/>
    <w:tmpl w:val="99F84172"/>
    <w:lvl w:ilvl="0" w:tplc="334E81F2">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1C201E"/>
    <w:multiLevelType w:val="hybridMultilevel"/>
    <w:tmpl w:val="E9E23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D820FF"/>
    <w:multiLevelType w:val="hybridMultilevel"/>
    <w:tmpl w:val="053A01BE"/>
    <w:lvl w:ilvl="0" w:tplc="A782A10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60578B"/>
    <w:multiLevelType w:val="hybridMultilevel"/>
    <w:tmpl w:val="61F21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1"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D83873"/>
    <w:multiLevelType w:val="hybridMultilevel"/>
    <w:tmpl w:val="B066AE36"/>
    <w:lvl w:ilvl="0" w:tplc="0472D920">
      <w:start w:val="1"/>
      <w:numFmt w:val="bullet"/>
      <w:lvlText w:val="•"/>
      <w:lvlJc w:val="left"/>
      <w:pPr>
        <w:tabs>
          <w:tab w:val="num" w:pos="720"/>
        </w:tabs>
        <w:ind w:left="720" w:hanging="360"/>
      </w:pPr>
      <w:rPr>
        <w:rFonts w:ascii="Arial" w:hAnsi="Arial" w:hint="default"/>
      </w:rPr>
    </w:lvl>
    <w:lvl w:ilvl="1" w:tplc="28303030">
      <w:start w:val="1"/>
      <w:numFmt w:val="bullet"/>
      <w:lvlText w:val="•"/>
      <w:lvlJc w:val="left"/>
      <w:pPr>
        <w:tabs>
          <w:tab w:val="num" w:pos="1440"/>
        </w:tabs>
        <w:ind w:left="1440" w:hanging="360"/>
      </w:pPr>
      <w:rPr>
        <w:rFonts w:ascii="Arial" w:hAnsi="Arial" w:hint="default"/>
      </w:rPr>
    </w:lvl>
    <w:lvl w:ilvl="2" w:tplc="EE2E1678" w:tentative="1">
      <w:start w:val="1"/>
      <w:numFmt w:val="bullet"/>
      <w:lvlText w:val="•"/>
      <w:lvlJc w:val="left"/>
      <w:pPr>
        <w:tabs>
          <w:tab w:val="num" w:pos="2160"/>
        </w:tabs>
        <w:ind w:left="2160" w:hanging="360"/>
      </w:pPr>
      <w:rPr>
        <w:rFonts w:ascii="Arial" w:hAnsi="Arial" w:hint="default"/>
      </w:rPr>
    </w:lvl>
    <w:lvl w:ilvl="3" w:tplc="59A238E4" w:tentative="1">
      <w:start w:val="1"/>
      <w:numFmt w:val="bullet"/>
      <w:lvlText w:val="•"/>
      <w:lvlJc w:val="left"/>
      <w:pPr>
        <w:tabs>
          <w:tab w:val="num" w:pos="2880"/>
        </w:tabs>
        <w:ind w:left="2880" w:hanging="360"/>
      </w:pPr>
      <w:rPr>
        <w:rFonts w:ascii="Arial" w:hAnsi="Arial" w:hint="default"/>
      </w:rPr>
    </w:lvl>
    <w:lvl w:ilvl="4" w:tplc="EB1EA556" w:tentative="1">
      <w:start w:val="1"/>
      <w:numFmt w:val="bullet"/>
      <w:lvlText w:val="•"/>
      <w:lvlJc w:val="left"/>
      <w:pPr>
        <w:tabs>
          <w:tab w:val="num" w:pos="3600"/>
        </w:tabs>
        <w:ind w:left="3600" w:hanging="360"/>
      </w:pPr>
      <w:rPr>
        <w:rFonts w:ascii="Arial" w:hAnsi="Arial" w:hint="default"/>
      </w:rPr>
    </w:lvl>
    <w:lvl w:ilvl="5" w:tplc="47AE3450" w:tentative="1">
      <w:start w:val="1"/>
      <w:numFmt w:val="bullet"/>
      <w:lvlText w:val="•"/>
      <w:lvlJc w:val="left"/>
      <w:pPr>
        <w:tabs>
          <w:tab w:val="num" w:pos="4320"/>
        </w:tabs>
        <w:ind w:left="4320" w:hanging="360"/>
      </w:pPr>
      <w:rPr>
        <w:rFonts w:ascii="Arial" w:hAnsi="Arial" w:hint="default"/>
      </w:rPr>
    </w:lvl>
    <w:lvl w:ilvl="6" w:tplc="6BD65930" w:tentative="1">
      <w:start w:val="1"/>
      <w:numFmt w:val="bullet"/>
      <w:lvlText w:val="•"/>
      <w:lvlJc w:val="left"/>
      <w:pPr>
        <w:tabs>
          <w:tab w:val="num" w:pos="5040"/>
        </w:tabs>
        <w:ind w:left="5040" w:hanging="360"/>
      </w:pPr>
      <w:rPr>
        <w:rFonts w:ascii="Arial" w:hAnsi="Arial" w:hint="default"/>
      </w:rPr>
    </w:lvl>
    <w:lvl w:ilvl="7" w:tplc="010EB65E" w:tentative="1">
      <w:start w:val="1"/>
      <w:numFmt w:val="bullet"/>
      <w:lvlText w:val="•"/>
      <w:lvlJc w:val="left"/>
      <w:pPr>
        <w:tabs>
          <w:tab w:val="num" w:pos="5760"/>
        </w:tabs>
        <w:ind w:left="5760" w:hanging="360"/>
      </w:pPr>
      <w:rPr>
        <w:rFonts w:ascii="Arial" w:hAnsi="Arial" w:hint="default"/>
      </w:rPr>
    </w:lvl>
    <w:lvl w:ilvl="8" w:tplc="AFAA9F4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4"/>
  </w:num>
  <w:num w:numId="4">
    <w:abstractNumId w:val="2"/>
  </w:num>
  <w:num w:numId="5">
    <w:abstractNumId w:val="45"/>
  </w:num>
  <w:num w:numId="6">
    <w:abstractNumId w:val="7"/>
  </w:num>
  <w:num w:numId="7">
    <w:abstractNumId w:val="30"/>
  </w:num>
  <w:num w:numId="8">
    <w:abstractNumId w:val="32"/>
  </w:num>
  <w:num w:numId="9">
    <w:abstractNumId w:val="40"/>
  </w:num>
  <w:num w:numId="10">
    <w:abstractNumId w:val="38"/>
  </w:num>
  <w:num w:numId="11">
    <w:abstractNumId w:val="10"/>
  </w:num>
  <w:num w:numId="12">
    <w:abstractNumId w:val="15"/>
  </w:num>
  <w:num w:numId="13">
    <w:abstractNumId w:val="20"/>
  </w:num>
  <w:num w:numId="14">
    <w:abstractNumId w:val="46"/>
  </w:num>
  <w:num w:numId="15">
    <w:abstractNumId w:val="31"/>
  </w:num>
  <w:num w:numId="16">
    <w:abstractNumId w:val="33"/>
  </w:num>
  <w:num w:numId="17">
    <w:abstractNumId w:val="43"/>
  </w:num>
  <w:num w:numId="18">
    <w:abstractNumId w:val="6"/>
  </w:num>
  <w:num w:numId="19">
    <w:abstractNumId w:val="29"/>
  </w:num>
  <w:num w:numId="20">
    <w:abstractNumId w:val="22"/>
  </w:num>
  <w:num w:numId="21">
    <w:abstractNumId w:val="18"/>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22"/>
  </w:num>
  <w:num w:numId="24">
    <w:abstractNumId w:val="13"/>
  </w:num>
  <w:num w:numId="25">
    <w:abstractNumId w:val="37"/>
  </w:num>
  <w:num w:numId="26">
    <w:abstractNumId w:val="27"/>
  </w:num>
  <w:num w:numId="27">
    <w:abstractNumId w:val="42"/>
  </w:num>
  <w:num w:numId="28">
    <w:abstractNumId w:val="21"/>
  </w:num>
  <w:num w:numId="29">
    <w:abstractNumId w:val="4"/>
  </w:num>
  <w:num w:numId="30">
    <w:abstractNumId w:val="41"/>
  </w:num>
  <w:num w:numId="31">
    <w:abstractNumId w:val="9"/>
  </w:num>
  <w:num w:numId="32">
    <w:abstractNumId w:val="22"/>
  </w:num>
  <w:num w:numId="33">
    <w:abstractNumId w:val="19"/>
  </w:num>
  <w:num w:numId="34">
    <w:abstractNumId w:val="39"/>
  </w:num>
  <w:num w:numId="35">
    <w:abstractNumId w:val="11"/>
  </w:num>
  <w:num w:numId="36">
    <w:abstractNumId w:val="14"/>
  </w:num>
  <w:num w:numId="37">
    <w:abstractNumId w:val="34"/>
  </w:num>
  <w:num w:numId="38">
    <w:abstractNumId w:val="8"/>
  </w:num>
  <w:num w:numId="39">
    <w:abstractNumId w:val="44"/>
  </w:num>
  <w:num w:numId="40">
    <w:abstractNumId w:val="17"/>
  </w:num>
  <w:num w:numId="41">
    <w:abstractNumId w:val="28"/>
  </w:num>
  <w:num w:numId="42">
    <w:abstractNumId w:val="12"/>
  </w:num>
  <w:num w:numId="43">
    <w:abstractNumId w:val="35"/>
  </w:num>
  <w:num w:numId="44">
    <w:abstractNumId w:val="36"/>
  </w:num>
  <w:num w:numId="45">
    <w:abstractNumId w:val="5"/>
  </w:num>
  <w:num w:numId="46">
    <w:abstractNumId w:val="25"/>
  </w:num>
  <w:num w:numId="47">
    <w:abstractNumId w:val="3"/>
  </w:num>
  <w:num w:numId="48">
    <w:abstractNumId w:val="26"/>
  </w:num>
  <w:num w:numId="4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3CA9"/>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608"/>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402"/>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EEB"/>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569"/>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E5C"/>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5CA8"/>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1D"/>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393"/>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482F"/>
    <w:rsid w:val="00314D9E"/>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1AC"/>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679B3"/>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240"/>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4F3"/>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383"/>
    <w:rsid w:val="0054556F"/>
    <w:rsid w:val="005457A9"/>
    <w:rsid w:val="005458F0"/>
    <w:rsid w:val="00545B56"/>
    <w:rsid w:val="00545C3D"/>
    <w:rsid w:val="00545CF1"/>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161"/>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950"/>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08C"/>
    <w:rsid w:val="006A7574"/>
    <w:rsid w:val="006A75D6"/>
    <w:rsid w:val="006A7984"/>
    <w:rsid w:val="006A7BF2"/>
    <w:rsid w:val="006A7C40"/>
    <w:rsid w:val="006A7FDD"/>
    <w:rsid w:val="006B0489"/>
    <w:rsid w:val="006B0A5E"/>
    <w:rsid w:val="006B0C66"/>
    <w:rsid w:val="006B14F4"/>
    <w:rsid w:val="006B163E"/>
    <w:rsid w:val="006B166D"/>
    <w:rsid w:val="006B1833"/>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0FA"/>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74E"/>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560"/>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678"/>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66B"/>
    <w:rsid w:val="008D1D2C"/>
    <w:rsid w:val="008D1E23"/>
    <w:rsid w:val="008D2062"/>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44"/>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49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748"/>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3A"/>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42"/>
    <w:rsid w:val="00A3747D"/>
    <w:rsid w:val="00A37A59"/>
    <w:rsid w:val="00A4023B"/>
    <w:rsid w:val="00A40296"/>
    <w:rsid w:val="00A402A6"/>
    <w:rsid w:val="00A40531"/>
    <w:rsid w:val="00A40889"/>
    <w:rsid w:val="00A41009"/>
    <w:rsid w:val="00A41179"/>
    <w:rsid w:val="00A41287"/>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50F"/>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AF8"/>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33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82"/>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2A00"/>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5FC7"/>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B2B"/>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2"/>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A6E"/>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5C4"/>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8C3"/>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C47"/>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9FE"/>
    <w:rsid w:val="00ED3B7D"/>
    <w:rsid w:val="00ED3E6E"/>
    <w:rsid w:val="00ED4416"/>
    <w:rsid w:val="00ED5122"/>
    <w:rsid w:val="00ED54F7"/>
    <w:rsid w:val="00ED58F2"/>
    <w:rsid w:val="00ED7099"/>
    <w:rsid w:val="00ED7348"/>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0DB"/>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7D6"/>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63C"/>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9F"/>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77ADBA0-3F01-4560-AD57-7FBFB1D7E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 w:type="character" w:customStyle="1" w:styleId="Doc-text2Char">
    <w:name w:val="Doc-text2 Char"/>
    <w:link w:val="Doc-text2"/>
    <w:locked/>
    <w:rsid w:val="00E73C47"/>
    <w:rPr>
      <w:rFonts w:ascii="Arial" w:hAnsi="Arial" w:cs="Arial"/>
      <w:lang w:eastAsia="en-GB"/>
    </w:rPr>
  </w:style>
  <w:style w:type="paragraph" w:customStyle="1" w:styleId="Doc-text2">
    <w:name w:val="Doc-text2"/>
    <w:basedOn w:val="Normal"/>
    <w:link w:val="Doc-text2Char"/>
    <w:rsid w:val="00E73C47"/>
    <w:pPr>
      <w:overflowPunct/>
      <w:autoSpaceDE/>
      <w:autoSpaceDN/>
      <w:adjustRightInd/>
      <w:spacing w:before="0" w:after="0"/>
      <w:ind w:left="1622" w:hanging="363"/>
      <w:textAlignment w:val="auto"/>
    </w:pPr>
    <w:rPr>
      <w:rFonts w:ascii="Arial"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9358102">
          <w:marLeft w:val="1080"/>
          <w:marRight w:val="0"/>
          <w:marTop w:val="1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 w:id="1425690344">
          <w:marLeft w:val="360"/>
          <w:marRight w:val="0"/>
          <w:marTop w:val="2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9024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933941">
      <w:bodyDiv w:val="1"/>
      <w:marLeft w:val="0"/>
      <w:marRight w:val="0"/>
      <w:marTop w:val="0"/>
      <w:marBottom w:val="0"/>
      <w:divBdr>
        <w:top w:val="none" w:sz="0" w:space="0" w:color="auto"/>
        <w:left w:val="none" w:sz="0" w:space="0" w:color="auto"/>
        <w:bottom w:val="none" w:sz="0" w:space="0" w:color="auto"/>
        <w:right w:val="none" w:sz="0" w:space="0" w:color="auto"/>
      </w:divBdr>
      <w:divsChild>
        <w:div w:id="830872701">
          <w:marLeft w:val="1166"/>
          <w:marRight w:val="0"/>
          <w:marTop w:val="60"/>
          <w:marBottom w:val="0"/>
          <w:divBdr>
            <w:top w:val="none" w:sz="0" w:space="0" w:color="auto"/>
            <w:left w:val="none" w:sz="0" w:space="0" w:color="auto"/>
            <w:bottom w:val="none" w:sz="0" w:space="0" w:color="auto"/>
            <w:right w:val="none" w:sz="0" w:space="0" w:color="auto"/>
          </w:divBdr>
        </w:div>
        <w:div w:id="1387339587">
          <w:marLeft w:val="1800"/>
          <w:marRight w:val="0"/>
          <w:marTop w:val="6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32C62EC-2C5D-4761-9643-5F2070FAFBD5}">
  <ds:schemaRefs>
    <ds:schemaRef ds:uri="http://schemas.openxmlformats.org/officeDocument/2006/bibliography"/>
  </ds:schemaRefs>
</ds:datastoreItem>
</file>

<file path=customXml/itemProps5.xml><?xml version="1.0" encoding="utf-8"?>
<ds:datastoreItem xmlns:ds="http://schemas.openxmlformats.org/officeDocument/2006/customXml" ds:itemID="{60CE4905-C261-4D0E-82A5-6BE589D90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589</Words>
  <Characters>3149</Characters>
  <Application>Microsoft Office Word</Application>
  <DocSecurity>0</DocSecurity>
  <Lines>64</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8</cp:revision>
  <cp:lastPrinted>2016-03-30T01:01:00Z</cp:lastPrinted>
  <dcterms:created xsi:type="dcterms:W3CDTF">2018-08-02T23:42:00Z</dcterms:created>
  <dcterms:modified xsi:type="dcterms:W3CDTF">2018-08-10T17:10:00Z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2018-08-10 17:10:38Z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